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b w:val="1"/>
          <w:sz w:val="40"/>
          <w:szCs w:val="40"/>
          <w:rtl w:val="0"/>
        </w:rPr>
        <w:t xml:space="preserve">403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Título 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Gestión ambiental en la Ciénaga Grande de Santa Marta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Autores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Paula Sierra-Correa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highlight w:val="yellow"/>
          <w:vertAlign w:val="superscript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,  Anny Zamora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highlight w:val="yellow"/>
          <w:vertAlign w:val="superscript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Zoraida Jiménez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highlight w:val="yellow"/>
          <w:vertAlign w:val="superscript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, Albeiro Rosero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highlight w:val="yellow"/>
          <w:vertAlign w:val="superscript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, Héctor Martínez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highlight w:val="yellow"/>
          <w:vertAlign w:val="superscript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Carolina García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highlight w:val="yellow"/>
          <w:vertAlign w:val="superscript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Isabela Katime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highlight w:val="yellow"/>
          <w:vertAlign w:val="superscript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Natalia Mendivil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highlight w:val="yellow"/>
          <w:vertAlign w:val="superscript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y 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Marí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Victoria 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Matiz</w:t>
      </w:r>
      <w:r w:rsidDel="00000000" w:rsidR="00000000" w:rsidRPr="00000000">
        <w:rPr>
          <w:rFonts w:ascii="Arial" w:cs="Arial" w:eastAsia="Arial" w:hAnsi="Arial"/>
          <w:sz w:val="22"/>
          <w:szCs w:val="22"/>
          <w:highlight w:val="yellow"/>
          <w:vertAlign w:val="superscript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36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Destacado</w:t>
      </w:r>
    </w:p>
    <w:p w:rsidR="00000000" w:rsidDel="00000000" w:rsidP="00000000" w:rsidRDefault="00000000" w:rsidRPr="00000000" w14:paraId="00000009">
      <w:pPr>
        <w:spacing w:after="0"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proyecto Conservación y Uso sostenible de la Ciénaga Grande Santa Marta busca mejorar la salud de este ecosistema a través de un modelo de gobernanza territorial que integra variables ecológicas y culturales.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360" w:lineRule="auto"/>
        <w:jc w:val="both"/>
        <w:rPr>
          <w:rFonts w:ascii="Arial" w:cs="Arial" w:eastAsia="Arial" w:hAnsi="Arial"/>
          <w:b w:val="1"/>
          <w:color w:val="bf4f14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Cuerpo</w:t>
      </w:r>
      <w:r w:rsidDel="00000000" w:rsidR="00000000" w:rsidRPr="00000000">
        <w:rPr>
          <w:rFonts w:ascii="Arial" w:cs="Arial" w:eastAsia="Arial" w:hAnsi="Arial"/>
          <w:b w:val="1"/>
          <w:color w:val="bf4f14"/>
          <w:sz w:val="22"/>
          <w:szCs w:val="22"/>
          <w:rtl w:val="0"/>
        </w:rPr>
        <w:t xml:space="preserve">  </w:t>
      </w:r>
    </w:p>
    <w:p w:rsidR="00000000" w:rsidDel="00000000" w:rsidP="00000000" w:rsidRDefault="00000000" w:rsidRPr="00000000" w14:paraId="0000000C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La Ciénaga Grande de Santa Marta (CGSM) es la laguna costera más grande de Colombia (430 km</w:t>
      </w:r>
      <w:r w:rsidDel="00000000" w:rsidR="00000000" w:rsidRPr="00000000">
        <w:rPr>
          <w:rFonts w:ascii="Arial" w:cs="Arial" w:eastAsia="Arial" w:hAnsi="Arial"/>
          <w:sz w:val="22"/>
          <w:szCs w:val="22"/>
          <w:vertAlign w:val="superscript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) y constituye un punto de confluencia entre tres grandes sistemas naturales del Caribe: el sistema estuarino del río Magdalena, la Sierra Nevada de Santa Marta y el mar Caribe. En 1998, fue el primer humedal colombiano en ser incluido en la lista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Ramsar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 humedales de importancia internacional. No obstante, actualmente enfrenta fuertes presiones asociadas a la actividad agroindustrial, lo que ha provocado pérdidas significativas de biodiversidad, una reducción de casi el 40 % de los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manglares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un incremento en la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sedimentación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y un déficit en la disponibilidad de agua dulce, entre otras afectaciones. Este panorama plantea la necesidad urgente de recuperar o mantener las características ecológicas y funcionales del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ecosistema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mediante un uso racional de los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servicios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que brinda.</w:t>
      </w:r>
    </w:p>
    <w:p w:rsidR="00000000" w:rsidDel="00000000" w:rsidP="00000000" w:rsidRDefault="00000000" w:rsidRPr="00000000" w14:paraId="0000000D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Un diagnóstico reciente sobre la salud del ecosistema y su relación con las prácticas de manejo de quienes hacen uso de sus servicios identificó varios obstáculos que dificultan la implementación de acciones de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conservación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En primer lugar, los actores locales e institucionales involucrados en la toma de decisiones ambientales se encuentran desarticulados y no han logrado formular soluciones integradas que aborden la complejidad de los problemas de la CGSM. En segundo lugar, persisten vacíos de conocimiento sobre las conexiones ecológicas y socioculturales, especialmente entre el Santuario de Fauna y Flora y la Vía Parque Isla de Salamanca. Finalmente, se observa un uso inadecuado del suelo y del agua en los sistemas productivos presentes en la zona (como café, palma, banano, arroz, ganadería, entre otros).</w:t>
      </w:r>
    </w:p>
    <w:p w:rsidR="00000000" w:rsidDel="00000000" w:rsidP="00000000" w:rsidRDefault="00000000" w:rsidRPr="00000000" w14:paraId="0000000E">
      <w:pPr>
        <w:spacing w:after="0" w:line="360" w:lineRule="auto"/>
        <w:ind w:firstLine="72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respuesta a esta situación, el proyecto Conservación y Uso sostenible de la Ciénaga Grande de Santa Marta busca mejorar la salud del ecosistema a través de tres ejes fundamentales: 1) el fortalecimiento de la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gobernanza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mediante un modelo participativo que promueva la interlocución y la toma de decisiones coordinada entre distintos actores; 2) el diseño e implementación de un sistema de información que permita tener claridad sobre los conectores ecológicos y socioculturales, y sirva de base para actividades de conservación y restauración (p. ej., en manglares,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bosques secos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y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bosques ribereños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); y 3) el fomento de prácticas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sostenibles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y eficientes que reduzcan la pérdida de coberturas boscosas, la erosión del suelo y las afectaciones sobre el recurso hídrico.</w:t>
      </w:r>
    </w:p>
    <w:p w:rsidR="00000000" w:rsidDel="00000000" w:rsidP="00000000" w:rsidRDefault="00000000" w:rsidRPr="00000000" w14:paraId="0000000F">
      <w:pPr>
        <w:spacing w:after="0" w:line="360" w:lineRule="auto"/>
        <w:ind w:firstLine="72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Abordar este ecosistema desde una perspectiva funcional y holística —que incorpore tanto variables ecológicas como socioculturales— es clave para hacer frente a las amenazas y presiones que lo han afectado durante más de setenta años. En este sentido, comprender el funcionamiento del sistema resulta tan importante como reconocer la agencia de las comunidades locales a la hora de diseñar mecanismos participativos para la conservación de la biodiversidad.</w:t>
      </w:r>
    </w:p>
    <w:p w:rsidR="00000000" w:rsidDel="00000000" w:rsidP="00000000" w:rsidRDefault="00000000" w:rsidRPr="00000000" w14:paraId="00000010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Fichas relacionadas</w:t>
      </w:r>
    </w:p>
    <w:p w:rsidR="00000000" w:rsidDel="00000000" w:rsidP="00000000" w:rsidRDefault="00000000" w:rsidRPr="00000000" w14:paraId="00000012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2023: 102, 401 |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2021: 105, 211, 401, 404, 406, 415, 418 |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2019: 405</w:t>
      </w:r>
    </w:p>
    <w:p w:rsidR="00000000" w:rsidDel="00000000" w:rsidP="00000000" w:rsidRDefault="00000000" w:rsidRPr="00000000" w14:paraId="00000013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Temáticas</w:t>
      </w:r>
    </w:p>
    <w:p w:rsidR="00000000" w:rsidDel="00000000" w:rsidP="00000000" w:rsidRDefault="00000000" w:rsidRPr="00000000" w14:paraId="00000015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Ecosistemas acuáticos, Gestión territorial, Gestión integral, Gobernanza</w:t>
      </w:r>
    </w:p>
    <w:p w:rsidR="00000000" w:rsidDel="00000000" w:rsidP="00000000" w:rsidRDefault="00000000" w:rsidRPr="00000000" w14:paraId="00000016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36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Instituciones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36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a. Invemar.</w:t>
      </w:r>
    </w:p>
    <w:p w:rsidR="00000000" w:rsidDel="00000000" w:rsidP="00000000" w:rsidRDefault="00000000" w:rsidRPr="00000000" w14:paraId="00000019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Salidas gráficas</w:t>
      </w:r>
    </w:p>
    <w:p w:rsidR="00000000" w:rsidDel="00000000" w:rsidP="00000000" w:rsidRDefault="00000000" w:rsidRPr="00000000" w14:paraId="0000001B">
      <w:pPr>
        <w:spacing w:after="0" w:line="36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36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Salida 1. Metas y acciones del proyecto</w:t>
      </w:r>
      <w:r w:rsidDel="00000000" w:rsidR="00000000" w:rsidRPr="00000000">
        <w:rPr>
          <w:rtl w:val="0"/>
        </w:rPr>
      </w:r>
    </w:p>
    <w:tbl>
      <w:tblPr>
        <w:tblStyle w:val="Table1"/>
        <w:tblW w:w="901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spacing w:line="36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Componente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Metas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line="36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Acciones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Gobernanza territorial e institucional fortalecida</w:t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Modelo de gobernanza ambiental</w:t>
            </w:r>
          </w:p>
          <w:p w:rsidR="00000000" w:rsidDel="00000000" w:rsidP="00000000" w:rsidRDefault="00000000" w:rsidRPr="00000000" w14:paraId="00000022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Estrategia de sostenibilidad financiera</w:t>
            </w:r>
          </w:p>
          <w:p w:rsidR="00000000" w:rsidDel="00000000" w:rsidP="00000000" w:rsidRDefault="00000000" w:rsidRPr="00000000" w14:paraId="00000023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Estrategia de sensibilización y comunicación con enfoque diferencial</w:t>
            </w:r>
          </w:p>
          <w:p w:rsidR="00000000" w:rsidDel="00000000" w:rsidP="00000000" w:rsidRDefault="00000000" w:rsidRPr="00000000" w14:paraId="00000024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Piloto de cogestión de la pesca artesanal con enfoque ecosistémico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Acuerdos entre actores clave del territorio</w:t>
            </w:r>
          </w:p>
          <w:p w:rsidR="00000000" w:rsidDel="00000000" w:rsidP="00000000" w:rsidRDefault="00000000" w:rsidRPr="00000000" w14:paraId="00000026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Implementación de estrategia de sostenibilidad financiera y participación de empresas</w:t>
            </w:r>
          </w:p>
          <w:p w:rsidR="00000000" w:rsidDel="00000000" w:rsidP="00000000" w:rsidRDefault="00000000" w:rsidRPr="00000000" w14:paraId="00000027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Participación de comunidades y organizaciones de grupos étnicos, campesinos y mujeres</w:t>
            </w:r>
          </w:p>
          <w:p w:rsidR="00000000" w:rsidDel="00000000" w:rsidP="00000000" w:rsidRDefault="00000000" w:rsidRPr="00000000" w14:paraId="00000028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Participación de al menos un 30 % de mujeres en espacios de gobernanza</w:t>
            </w:r>
          </w:p>
          <w:p w:rsidR="00000000" w:rsidDel="00000000" w:rsidP="00000000" w:rsidRDefault="00000000" w:rsidRPr="00000000" w14:paraId="00000029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Acuerdos de pesca artesanal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Conservación de la biodiversidad, restauración y conectividad</w:t>
            </w:r>
          </w:p>
        </w:tc>
        <w:tc>
          <w:tcPr/>
          <w:p w:rsidR="00000000" w:rsidDel="00000000" w:rsidP="00000000" w:rsidRDefault="00000000" w:rsidRPr="00000000" w14:paraId="0000002B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Reducir en 10 % el uso del agua en al menos un distrito de riego</w:t>
            </w:r>
          </w:p>
          <w:p w:rsidR="00000000" w:rsidDel="00000000" w:rsidP="00000000" w:rsidRDefault="00000000" w:rsidRPr="00000000" w14:paraId="0000002C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Restauración de 200 ha de manglar en desembocaduras de ríos Aracataca y Fundación</w:t>
            </w:r>
          </w:p>
          <w:p w:rsidR="00000000" w:rsidDel="00000000" w:rsidP="00000000" w:rsidRDefault="00000000" w:rsidRPr="00000000" w14:paraId="0000002D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Restauración de 450 ha de bosque seco y bosque ribereño en las cuencas medias y bajas de ríos Aracataca y Fundación</w:t>
            </w:r>
          </w:p>
          <w:p w:rsidR="00000000" w:rsidDel="00000000" w:rsidP="00000000" w:rsidRDefault="00000000" w:rsidRPr="00000000" w14:paraId="0000002E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Trabajo de conservación o restauración de 20 000 ha con comunidades indígenas</w:t>
            </w:r>
          </w:p>
          <w:p w:rsidR="00000000" w:rsidDel="00000000" w:rsidP="00000000" w:rsidRDefault="00000000" w:rsidRPr="00000000" w14:paraId="0000002F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Formulación de plan de acción de conectividad hídrica, socioecosistémica y cultural</w:t>
            </w:r>
          </w:p>
          <w:p w:rsidR="00000000" w:rsidDel="00000000" w:rsidP="00000000" w:rsidRDefault="00000000" w:rsidRPr="00000000" w14:paraId="00000030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Programa de monitoreo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Generación de información sobre biodiversidad, recursos hídricos y clima</w:t>
            </w:r>
          </w:p>
          <w:p w:rsidR="00000000" w:rsidDel="00000000" w:rsidP="00000000" w:rsidRDefault="00000000" w:rsidRPr="00000000" w14:paraId="00000032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Restauración de ecosistemas estratégicos</w:t>
            </w:r>
          </w:p>
          <w:p w:rsidR="00000000" w:rsidDel="00000000" w:rsidP="00000000" w:rsidRDefault="00000000" w:rsidRPr="00000000" w14:paraId="00000033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Mejorar conectividad hídrica, ecosistémica y cultural</w:t>
            </w:r>
          </w:p>
          <w:p w:rsidR="00000000" w:rsidDel="00000000" w:rsidP="00000000" w:rsidRDefault="00000000" w:rsidRPr="00000000" w14:paraId="00000034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Mejorar el uso del agua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Uso sostenible del suelo y conservación de bosques</w:t>
            </w:r>
          </w:p>
        </w:tc>
        <w:tc>
          <w:tcPr/>
          <w:p w:rsidR="00000000" w:rsidDel="00000000" w:rsidP="00000000" w:rsidRDefault="00000000" w:rsidRPr="00000000" w14:paraId="00000036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- 11 862 ha bajo producción sostenible</w:t>
            </w:r>
          </w:p>
          <w:p w:rsidR="00000000" w:rsidDel="00000000" w:rsidP="00000000" w:rsidRDefault="00000000" w:rsidRPr="00000000" w14:paraId="00000037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- 4483 ha bajo conservación/restauración en fincas</w:t>
            </w:r>
          </w:p>
          <w:p w:rsidR="00000000" w:rsidDel="00000000" w:rsidP="00000000" w:rsidRDefault="00000000" w:rsidRPr="00000000" w14:paraId="00000038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Adopción de prácticas para el uso eficiente del agua por 288 productores </w:t>
            </w:r>
          </w:p>
          <w:p w:rsidR="00000000" w:rsidDel="00000000" w:rsidP="00000000" w:rsidRDefault="00000000" w:rsidRPr="00000000" w14:paraId="00000039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Adopción de prácticas de conservación y restauración ecológica por 432 productores</w:t>
            </w:r>
          </w:p>
        </w:tc>
        <w:tc>
          <w:tcPr/>
          <w:p w:rsidR="00000000" w:rsidDel="00000000" w:rsidP="00000000" w:rsidRDefault="00000000" w:rsidRPr="00000000" w14:paraId="0000003A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Planificación predial participativa</w:t>
            </w:r>
          </w:p>
          <w:p w:rsidR="00000000" w:rsidDel="00000000" w:rsidP="00000000" w:rsidRDefault="00000000" w:rsidRPr="00000000" w14:paraId="0000003B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Acuerdos de conservación con pequeños productores</w:t>
            </w:r>
          </w:p>
          <w:p w:rsidR="00000000" w:rsidDel="00000000" w:rsidP="00000000" w:rsidRDefault="00000000" w:rsidRPr="00000000" w14:paraId="0000003C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Enriquecimiento de rondas hídricas</w:t>
            </w:r>
          </w:p>
          <w:p w:rsidR="00000000" w:rsidDel="00000000" w:rsidP="00000000" w:rsidRDefault="00000000" w:rsidRPr="00000000" w14:paraId="0000003D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Corredores de conectividad en fincas</w:t>
            </w:r>
          </w:p>
          <w:p w:rsidR="00000000" w:rsidDel="00000000" w:rsidP="00000000" w:rsidRDefault="00000000" w:rsidRPr="00000000" w14:paraId="0000003E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 Uso de tecnologías para el manejo eficiente del recurso hídrico</w:t>
            </w:r>
          </w:p>
        </w:tc>
      </w:tr>
    </w:tbl>
    <w:p w:rsidR="00000000" w:rsidDel="00000000" w:rsidP="00000000" w:rsidRDefault="00000000" w:rsidRPr="00000000" w14:paraId="0000003F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Salida 2. Consejo Territorial del Agua CGSM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6392525" cy="9944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92525" cy="994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3495.0" w:type="dxa"/>
        <w:jc w:val="left"/>
        <w:tblInd w:w="2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0"/>
        <w:gridCol w:w="2415"/>
        <w:tblGridChange w:id="0">
          <w:tblGrid>
            <w:gridCol w:w="1080"/>
            <w:gridCol w:w="2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</w:rPr>
              <w:drawing>
                <wp:inline distB="114300" distT="114300" distL="114300" distR="114300">
                  <wp:extent cx="180975" cy="161925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61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Áreas protegidas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</w:rPr>
              <w:drawing>
                <wp:inline distB="114300" distT="114300" distL="114300" distR="114300">
                  <wp:extent cx="209550" cy="161925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61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Ramsar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</w:rPr>
              <w:drawing>
                <wp:inline distB="114300" distT="114300" distL="114300" distR="114300">
                  <wp:extent cx="233363" cy="24765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3" cy="247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Mesa Ciénaga Grande-Costa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</w:rPr>
              <w:drawing>
                <wp:inline distB="114300" distT="114300" distL="114300" distR="114300">
                  <wp:extent cx="238125" cy="214450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2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Mesa Bajo Magdalena-Atlántico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</w:rPr>
              <w:drawing>
                <wp:inline distB="114300" distT="114300" distL="114300" distR="114300">
                  <wp:extent cx="242888" cy="238125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8" cy="238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Mesa Sierra Nevada-Zona Bananera, Jaba Niyutxama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</w:rPr>
              <w:drawing>
                <wp:inline distB="114300" distT="114300" distL="114300" distR="114300">
                  <wp:extent cx="233363" cy="233363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3" cy="233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Mesa Piñón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</w:rPr>
              <w:drawing>
                <wp:inline distB="114300" distT="114300" distL="114300" distR="114300">
                  <wp:extent cx="250632" cy="258987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32" cy="2589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Mesa Sierra Nevada (cuencas Aracataca-Fundación)</w:t>
            </w:r>
          </w:p>
        </w:tc>
      </w:tr>
    </w:tbl>
    <w:p w:rsidR="00000000" w:rsidDel="00000000" w:rsidP="00000000" w:rsidRDefault="00000000" w:rsidRPr="00000000" w14:paraId="00000052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Texto: El proyecto busca la conformación de un Consejo Territorial del Agua como mecanismo permanente de diálogo, coordinación y gestión territorial del recurso hídrico. Este consejo estará conformado por actores institucionales, comunitarios, productivos y de conocimiento, con el fin de incidir en políticas públicas, promover acciones de conservación y restauración, así como garantizar el uso sostenible del agua en la CGSM.</w:t>
      </w:r>
    </w:p>
    <w:p w:rsidR="00000000" w:rsidDel="00000000" w:rsidP="00000000" w:rsidRDefault="00000000" w:rsidRPr="00000000" w14:paraId="00000054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Salida 3 [gráfico]. Principales motores de transformación en la CGSM</w:t>
      </w:r>
      <w:r w:rsidDel="00000000" w:rsidR="00000000" w:rsidRPr="00000000">
        <w:rPr>
          <w:rtl w:val="0"/>
        </w:rPr>
      </w:r>
    </w:p>
    <w:tbl>
      <w:tblPr>
        <w:tblStyle w:val="Table3"/>
        <w:tblW w:w="88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14"/>
        <w:gridCol w:w="4414"/>
        <w:tblGridChange w:id="0">
          <w:tblGrid>
            <w:gridCol w:w="4414"/>
            <w:gridCol w:w="441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line="36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Motor</w:t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line="36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Sector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8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Contaminación</w:t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Agroindustria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Secamiento de zonas de inundación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Ganadería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Deforestación y cambio de cobertura</w:t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Agricultura extensiva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E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Construcción de infraestructura</w:t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Transporte y obras civiles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Pesca no sostenible</w:t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Pesca artesanal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Malas prácticas agrícolas</w:t>
            </w:r>
          </w:p>
        </w:tc>
        <w:tc>
          <w:tcPr/>
          <w:p w:rsidR="00000000" w:rsidDel="00000000" w:rsidP="00000000" w:rsidRDefault="00000000" w:rsidRPr="00000000" w14:paraId="00000063">
            <w:pPr>
              <w:spacing w:line="36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Agricultura intensiva</w:t>
            </w:r>
          </w:p>
        </w:tc>
      </w:tr>
    </w:tbl>
    <w:p w:rsidR="00000000" w:rsidDel="00000000" w:rsidP="00000000" w:rsidRDefault="00000000" w:rsidRPr="00000000" w14:paraId="00000064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Salida 4 [ilustración]</w:t>
      </w:r>
    </w:p>
    <w:p w:rsidR="00000000" w:rsidDel="00000000" w:rsidP="00000000" w:rsidRDefault="00000000" w:rsidRPr="00000000" w14:paraId="00000066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4630400" cy="97536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Referencia:</w:t>
      </w:r>
    </w:p>
    <w:p w:rsidR="00000000" w:rsidDel="00000000" w:rsidP="00000000" w:rsidRDefault="00000000" w:rsidRPr="00000000" w14:paraId="00000069">
      <w:pPr>
        <w:spacing w:after="0"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5240000" cy="95250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952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Apto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s"/>
      </w:rPr>
    </w:rPrDefault>
    <w:pPrDefault>
      <w:pPr>
        <w:spacing w:after="160" w:line="27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0x0101007053FBED7F89914AB5F9C1DF00A143F5</vt:lpwstr>
  </property>
  <property fmtid="{D5CDD505-2E9C-101B-9397-08002B2CF9AE}" pid="3" name="MediaServiceImageTags">
    <vt:lpwstr>MediaServiceImageTags</vt:lpwstr>
  </property>
</Properties>
</file>